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D28F3" w14:textId="6353AD01" w:rsidR="00F5340E" w:rsidRPr="00E143D3" w:rsidRDefault="00F5340E" w:rsidP="00F5340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143D3">
        <w:rPr>
          <w:rFonts w:asciiTheme="majorHAnsi" w:hAnsiTheme="majorHAnsi" w:cstheme="majorHAnsi"/>
          <w:b/>
          <w:bCs/>
          <w:sz w:val="24"/>
          <w:szCs w:val="24"/>
        </w:rPr>
        <w:t xml:space="preserve">Lista dostawców usług, z których korzystamy przy prowadzeniu </w:t>
      </w:r>
      <w:r w:rsidR="008A529E" w:rsidRPr="00E143D3">
        <w:rPr>
          <w:rFonts w:asciiTheme="majorHAnsi" w:hAnsiTheme="majorHAnsi" w:cstheme="majorHAnsi"/>
          <w:b/>
          <w:bCs/>
          <w:sz w:val="24"/>
          <w:szCs w:val="24"/>
        </w:rPr>
        <w:t>Strony Internetowej</w:t>
      </w:r>
    </w:p>
    <w:p w14:paraId="7FE8DBB3" w14:textId="77777777" w:rsidR="00F5340E" w:rsidRDefault="00F5340E" w:rsidP="00F5340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siatki4akcent11"/>
        <w:tblW w:w="5000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04"/>
        <w:gridCol w:w="4505"/>
      </w:tblGrid>
      <w:tr w:rsidR="00F5340E" w14:paraId="07F1921B" w14:textId="77777777" w:rsidTr="00E14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4061" w:themeFill="accent1" w:themeFillShade="80"/>
            <w:tcMar>
              <w:top w:w="113" w:type="dxa"/>
              <w:bottom w:w="113" w:type="dxa"/>
            </w:tcMar>
            <w:vAlign w:val="center"/>
            <w:hideMark/>
          </w:tcPr>
          <w:p w14:paraId="234151AC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PODMIOT</w:t>
            </w: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4061" w:themeFill="accent1" w:themeFillShade="80"/>
            <w:tcMar>
              <w:top w:w="113" w:type="dxa"/>
              <w:bottom w:w="113" w:type="dxa"/>
            </w:tcMar>
            <w:vAlign w:val="center"/>
            <w:hideMark/>
          </w:tcPr>
          <w:p w14:paraId="1BE6FFD7" w14:textId="77777777" w:rsidR="00F5340E" w:rsidRDefault="00F5340E" w:rsidP="00E143D3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CEL</w:t>
            </w:r>
          </w:p>
        </w:tc>
      </w:tr>
      <w:tr w:rsidR="00F5340E" w14:paraId="511B260A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97ED5B9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PKO Bank Polski Spółka Akcyjna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1D9F1B8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0CC1B5F3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98F33C3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n-GB"/>
              </w:rPr>
              <w:t>Santander Consumer Bank S.A.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5C1896C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 w systemie e-Raty Santander Consumer Finanse</w:t>
            </w:r>
          </w:p>
        </w:tc>
      </w:tr>
      <w:tr w:rsidR="00F5340E" w14:paraId="16A138C2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E6DEA37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PayPro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S.A. z siedzibą w Poznaniu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9BF2FFF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49413692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20B2C44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Operator DPD sp. z o.o.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1ADF29D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7FC9CB06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5D74818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Operator </w:t>
            </w: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InPost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S.A. z siedzibą w Krakowie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0EF59E62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przekazania zamówienia</w:t>
            </w:r>
          </w:p>
        </w:tc>
      </w:tr>
      <w:tr w:rsidR="00F5340E" w14:paraId="7B71EE56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B7E9292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ING Bank Śląski S.A.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1C9F2BC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04B97F2A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CD1437D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Paypal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Polska sp. z o.o.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3170220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768E96B1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B501332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Operator DHL Express (Poland) sp. z o.o.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9FD540F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0BA04BF2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737FCEF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UPS Polska sp. z o.o.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9EF47C0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przekazania zamówienia</w:t>
            </w:r>
          </w:p>
        </w:tc>
      </w:tr>
      <w:tr w:rsidR="00F5340E" w14:paraId="0D1E259F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F8E496D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General Logistics System Poland sp. z o.o. z siedzibą w Głuchowie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30A38B27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356421D2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895FF0E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PayU S.A. z siedzibą w Poznaniu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0D66A211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754F59F6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D723F3E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PayPo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Sp. z o.o.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02F11215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 ratalnej</w:t>
            </w:r>
          </w:p>
        </w:tc>
      </w:tr>
      <w:tr w:rsidR="00F5340E" w14:paraId="0A7F6290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003B2444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Krajowy Integrator Płatności S.A. z siedzibą w Poznaniu ( </w:t>
            </w: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tpay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7EAEC7D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288F9BB3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3F4E66F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Dotpay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S.A. z siedzibą w Krakowie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5390C09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2537F31B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854E132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DialCom24 sp. z o.o. z siedzibą w Poznaniu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B4FF35C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7DAF1EE8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E760EC0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ECARD S.A. z siedzibą w Gdańsku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220C194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1450FAF6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241A9CF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MPAY S.A.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C1C4A08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27D8022B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01B87222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n-GB"/>
              </w:rPr>
              <w:t xml:space="preserve">eService sp. z </w:t>
            </w: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n-GB"/>
              </w:rPr>
              <w:t>o.o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n-GB"/>
              </w:rPr>
              <w:t xml:space="preserve">.  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BFF2FC3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</w:t>
            </w:r>
          </w:p>
        </w:tc>
      </w:tr>
      <w:tr w:rsidR="00F5340E" w14:paraId="54646452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4D7EA30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mBank S.A.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0A40009E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 ratalnej</w:t>
            </w:r>
          </w:p>
        </w:tc>
      </w:tr>
      <w:tr w:rsidR="00F5340E" w14:paraId="5828894D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A697D19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>Sygma</w:t>
            </w:r>
            <w:proofErr w:type="spellEnd"/>
            <w:r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>Banque</w:t>
            </w:r>
            <w:proofErr w:type="spellEnd"/>
            <w:r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>Société</w:t>
            </w:r>
            <w:proofErr w:type="spellEnd"/>
            <w:r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>Anonyme</w:t>
            </w:r>
            <w:proofErr w:type="spellEnd"/>
            <w:r>
              <w:rPr>
                <w:rFonts w:asciiTheme="majorHAnsi" w:hAnsiTheme="majorHAnsi" w:cstheme="majorHAnsi"/>
                <w:b w:val="0"/>
                <w:color w:val="262626"/>
                <w:sz w:val="20"/>
                <w:szCs w:val="20"/>
              </w:rPr>
              <w:t xml:space="preserve"> (Spółka Akcyjna) z siedzibą w Paryżu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BF103B9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 ratalnej</w:t>
            </w:r>
          </w:p>
        </w:tc>
      </w:tr>
      <w:tr w:rsidR="00F5340E" w14:paraId="6A710539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628388C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Credit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Agricole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Bank Polska Spółka Akcyjna z siedzibą we Wrocławiu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00E2A13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Zrealizowanie płatności w systemie Raty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Credit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Agricole</w:t>
            </w:r>
            <w:proofErr w:type="spellEnd"/>
          </w:p>
        </w:tc>
      </w:tr>
      <w:tr w:rsidR="00F5340E" w14:paraId="0E0BC9D0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0CE25252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Alior Bank S.A.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17CDBDE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płatności ratalnej</w:t>
            </w:r>
          </w:p>
        </w:tc>
      </w:tr>
      <w:tr w:rsidR="00F5340E" w14:paraId="74A6B3C2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549F532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lastRenderedPageBreak/>
              <w:t>Ceneo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sp. z o.o. z siedzibą w Poznaniu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315067B1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Zbadanie opinii o poziomie zadowolenia klientów z przeprowadzonego zakupu lub objęcie zakupu Programem Ochrony Kupujących</w:t>
            </w:r>
          </w:p>
        </w:tc>
      </w:tr>
      <w:tr w:rsidR="00F5340E" w14:paraId="05D353C9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3A4B1E1A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Opineo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sp. z o.o. z siedzibą we Wrocławiu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ECE9266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Prezentowanie i wyrażanie opinii na stronach internetowych zewnętrznego serwisu internetowego</w:t>
            </w:r>
          </w:p>
        </w:tc>
      </w:tr>
      <w:tr w:rsidR="00F5340E" w14:paraId="37627117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741FBE5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Grupa Okazje sp. z o.o. z siedzibą w Łodzi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9694AAB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Zamieszczanie opinii o produktach lub zbadanie opinii o poziomie zadowolenia klientów z przeprowadzonego zakupu</w:t>
            </w:r>
          </w:p>
        </w:tc>
      </w:tr>
      <w:tr w:rsidR="00F5340E" w14:paraId="38C39096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6995991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Skąpiec sp. z o.o. z siedzibą we Wrocławiu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40E0430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Informowanie Klientów o tym, w którym sklepie kupią poszukiwany przez siebie produkt, jakie warunki sprzedaży oferuje sklep oraz jaką ma opinię wśród Klientów</w:t>
            </w:r>
          </w:p>
        </w:tc>
      </w:tr>
      <w:tr w:rsidR="00F5340E" w14:paraId="62CF8ED3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18E9A97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Trusted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Shops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GmbH z siedzibą w Kolonii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6CD735E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Zbadanie opinii o poziomie zadowolenia Klientów z przeprowadzonego zakupu lub objęcie zakupów ochroną Kupującego</w:t>
            </w:r>
          </w:p>
        </w:tc>
      </w:tr>
      <w:tr w:rsidR="00F5340E" w14:paraId="51F089DC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FA71EE6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Poczta Polska S.A.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9594D1F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10C8242B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3E59078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Siódemka S.A.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8E4135F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1D9BC765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9203460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K-EX sp. z o.o. z siedzibą w Kielcach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3862DE8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30F2B60B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C3D2450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FedEx Express Polska  sp. z o.o.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0A6FADC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1D5037E3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A3EA1F4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Raben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Transposrt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 sp. z o.o. z siedzibą w Gądkach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FD8054C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60A99BF9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97CBBEF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Sendit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S.A. z siedzibą w Poznaniu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314289B4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19F3F6E5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5D19AA3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Schenker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sp. z o.o. z siedzibą w Warszawie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352650BB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0CC75DBC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3F536451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FROGMAN </w:t>
            </w: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s.r.o</w:t>
            </w:r>
            <w:proofErr w:type="spellEnd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., z siedzibą w </w:t>
            </w:r>
            <w:proofErr w:type="spellStart"/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Zlínie</w:t>
            </w:r>
            <w:proofErr w:type="spellEnd"/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D3C48F2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Zrealizowanie zamówienia</w:t>
            </w:r>
          </w:p>
        </w:tc>
      </w:tr>
      <w:tr w:rsidR="00F5340E" w14:paraId="5C4E0B25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763A57A" w14:textId="3603DF53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>Google I</w:t>
            </w:r>
            <w:r w:rsid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>reland Ltd</w:t>
            </w: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. (Google Cloud, Google Analytics, Google Analytics 360, Fabric Software) z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</w:t>
            </w:r>
            <w:proofErr w:type="spellStart"/>
            <w:r w:rsid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>Irlandii</w:t>
            </w:r>
            <w:proofErr w:type="spellEnd"/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4D00B4B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Mierzenie ruchu na stronach internetowych, raportowanie o błędach aplikacji, tworzenie statystyk</w:t>
            </w:r>
          </w:p>
        </w:tc>
      </w:tr>
      <w:tr w:rsidR="00F5340E" w14:paraId="7CFC5CEF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390E6E8C" w14:textId="48F231BE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Google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I</w:t>
            </w:r>
            <w:r w:rsid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reland</w:t>
            </w:r>
            <w:proofErr w:type="spellEnd"/>
            <w:r w:rsid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Ltd.</w:t>
            </w: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z siedzibą w </w:t>
            </w:r>
            <w:r w:rsid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Irlandii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9B3BE1B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Określanie profilu Klientów –</w:t>
            </w:r>
          </w:p>
          <w:p w14:paraId="7F911C6C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Google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AdSense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oraz Google Adwords</w:t>
            </w:r>
          </w:p>
        </w:tc>
      </w:tr>
      <w:tr w:rsidR="00F5340E" w14:paraId="3C1A12AE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88626D8" w14:textId="4A56F1FB" w:rsidR="00F5340E" w:rsidRDefault="008A529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Google </w:t>
            </w:r>
            <w:proofErr w:type="spellStart"/>
            <w:r w:rsidRP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Ltd. z siedzibą w Irlandii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D8D2D92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Analizowanie aktywności Klientów</w:t>
            </w:r>
          </w:p>
        </w:tc>
      </w:tr>
      <w:tr w:rsidR="00F5340E" w14:paraId="1BE563C1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F4B727B" w14:textId="048E0274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>Google Ireland Ltd</w:t>
            </w:r>
            <w:r w:rsid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>.</w:t>
            </w: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(Google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>Adwords</w:t>
            </w:r>
            <w:proofErr w:type="spellEnd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, Double Click Manager,  Double Click Search, Remarketing Service, Firebase) z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en-GB"/>
              </w:rPr>
              <w:t>Irlandii</w:t>
            </w:r>
            <w:proofErr w:type="spellEnd"/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C73A749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Mierzenie efektywności kampanii reklamowych, zarządzanie kampaniami reklamowymi</w:t>
            </w:r>
          </w:p>
        </w:tc>
      </w:tr>
      <w:tr w:rsidR="00F5340E" w14:paraId="291EC6C0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A309A7C" w14:textId="317A9986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Ltd. </w:t>
            </w: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z siedzibą w Irlandii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45A369CD" w14:textId="77777777" w:rsidR="00F5340E" w:rsidRDefault="00F5340E" w:rsidP="00E143D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Popularyzacja Sklepu Internetowego za pomocą serwisu społecznościowego Facebook.com</w:t>
            </w:r>
          </w:p>
        </w:tc>
      </w:tr>
      <w:tr w:rsidR="00F5340E" w14:paraId="2155D9EF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CBB6F18" w14:textId="4F35480D" w:rsidR="00F5340E" w:rsidRDefault="008A529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</w:pPr>
            <w:r w:rsidRP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8A529E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Ltd. z siedzibą w Irlandii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DA1C029" w14:textId="77777777" w:rsidR="00F5340E" w:rsidRDefault="00F5340E" w:rsidP="00E143D3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Popularyzacja Sklepu Internetowego za pomocą serwisu społecznościowego Instagram.com</w:t>
            </w:r>
          </w:p>
        </w:tc>
      </w:tr>
      <w:tr w:rsidR="00F5340E" w14:paraId="2C068EE1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5967505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lastRenderedPageBreak/>
              <w:t xml:space="preserve">LinkedIn </w:t>
            </w:r>
            <w:proofErr w:type="spellStart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Ltd. z siedzibą w Irlandii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81440CC" w14:textId="77777777" w:rsidR="00F5340E" w:rsidRDefault="00F5340E" w:rsidP="00E143D3">
            <w:pPr>
              <w:pStyle w:val="Akapitzlist"/>
              <w:spacing w:line="240" w:lineRule="exact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l-PL"/>
              </w:rPr>
              <w:t>Popularyzacja Sklepu Internetowego za pomocą serwisu społecznościowego LinkedIn.com</w:t>
            </w:r>
          </w:p>
        </w:tc>
      </w:tr>
      <w:tr w:rsidR="00F5340E" w14:paraId="0643E0AD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12A40D21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AddThis</w:t>
            </w:r>
            <w:proofErr w:type="spellEnd"/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Inc. z siedzibą w USA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3A987817" w14:textId="77777777" w:rsidR="00F5340E" w:rsidRDefault="00F5340E" w:rsidP="00E143D3">
            <w:pPr>
              <w:pStyle w:val="Akapitzlist"/>
              <w:spacing w:line="240" w:lineRule="exact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l-PL"/>
              </w:rPr>
              <w:t>Popularyzacja Sklepu Internetowego za pomocą serwisów społecznościowych przy użyciu narzędzia addthis.com</w:t>
            </w:r>
          </w:p>
        </w:tc>
      </w:tr>
      <w:tr w:rsidR="00F5340E" w14:paraId="51FB0732" w14:textId="77777777" w:rsidTr="00E143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750F09E9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Microsoft Corporation z siedzibą w USA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5CFC3145" w14:textId="77777777" w:rsidR="00F5340E" w:rsidRDefault="00F5340E" w:rsidP="00E143D3">
            <w:pPr>
              <w:pStyle w:val="Akapitzlist"/>
              <w:spacing w:line="240" w:lineRule="exact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l-PL"/>
              </w:rPr>
              <w:t>Ułatwienie komunikacji za pośrednictwem strony internetowej Sklepu Internetowego przy wykorzystaniu narzędzia skype.com</w:t>
            </w:r>
          </w:p>
        </w:tc>
      </w:tr>
      <w:tr w:rsidR="00F5340E" w14:paraId="45A04A46" w14:textId="77777777" w:rsidTr="00E14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264FEEEB" w14:textId="77777777" w:rsidR="00F5340E" w:rsidRDefault="00F5340E" w:rsidP="00E143D3">
            <w:pPr>
              <w:spacing w:line="240" w:lineRule="exact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Twitter Inc. z siedzibą w USA</w:t>
            </w:r>
          </w:p>
        </w:tc>
        <w:tc>
          <w:tcPr>
            <w:tcW w:w="2500" w:type="pct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  <w:hideMark/>
          </w:tcPr>
          <w:p w14:paraId="638D7A78" w14:textId="77777777" w:rsidR="00F5340E" w:rsidRDefault="00F5340E" w:rsidP="00E143D3">
            <w:pPr>
              <w:pStyle w:val="Akapitzlist"/>
              <w:spacing w:line="240" w:lineRule="exact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l-PL"/>
              </w:rPr>
              <w:t>Popularyzacja Sklepu Internetowego za pomocą serwisu społecznościowego twitter.com</w:t>
            </w:r>
          </w:p>
        </w:tc>
      </w:tr>
    </w:tbl>
    <w:p w14:paraId="314E42DC" w14:textId="77777777" w:rsidR="00F5340E" w:rsidRDefault="00F5340E" w:rsidP="00F5340E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2267CD30" w14:textId="77777777" w:rsidR="00F5340E" w:rsidRDefault="00F5340E" w:rsidP="00F5340E">
      <w:pPr>
        <w:rPr>
          <w:rFonts w:asciiTheme="majorHAnsi" w:hAnsiTheme="majorHAnsi" w:cstheme="majorHAnsi"/>
          <w:sz w:val="20"/>
          <w:szCs w:val="20"/>
        </w:rPr>
      </w:pPr>
    </w:p>
    <w:p w14:paraId="0337670F" w14:textId="77777777" w:rsidR="00F5340E" w:rsidRDefault="00F5340E" w:rsidP="00F5340E">
      <w:bookmarkStart w:id="0" w:name="_GoBack"/>
      <w:bookmarkEnd w:id="0"/>
    </w:p>
    <w:p w14:paraId="7F795BE6" w14:textId="77777777" w:rsidR="00F5340E" w:rsidRDefault="00F5340E" w:rsidP="00F5340E"/>
    <w:sectPr w:rsidR="00F5340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D9"/>
    <w:rsid w:val="008A529E"/>
    <w:rsid w:val="00A250D9"/>
    <w:rsid w:val="00E143D3"/>
    <w:rsid w:val="00F5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DDB7"/>
  <w15:docId w15:val="{2B26F0C6-BA45-467B-A402-0AD10E8F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F5340E"/>
    <w:pPr>
      <w:spacing w:line="240" w:lineRule="auto"/>
      <w:ind w:left="720"/>
      <w:contextualSpacing/>
    </w:pPr>
    <w:rPr>
      <w:rFonts w:ascii="Helvetica Light" w:eastAsiaTheme="minorHAnsi" w:hAnsi="Helvetica Light" w:cstheme="minorBidi"/>
      <w:sz w:val="24"/>
      <w:szCs w:val="24"/>
      <w:lang w:val="en-GB" w:eastAsia="en-US"/>
    </w:rPr>
  </w:style>
  <w:style w:type="table" w:customStyle="1" w:styleId="Tabelasiatki4akcent11">
    <w:name w:val="Tabela siatki 4 — akcent 11"/>
    <w:basedOn w:val="Standardowy"/>
    <w:uiPriority w:val="49"/>
    <w:rsid w:val="00F5340E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644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Tomek</cp:lastModifiedBy>
  <cp:revision>4</cp:revision>
  <dcterms:created xsi:type="dcterms:W3CDTF">2019-12-06T12:27:00Z</dcterms:created>
  <dcterms:modified xsi:type="dcterms:W3CDTF">2020-03-12T13:43:00Z</dcterms:modified>
</cp:coreProperties>
</file>